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B185" w14:textId="77777777" w:rsidR="00A73CB0" w:rsidRDefault="00AF4C85" w:rsidP="007C1816">
      <w:pPr>
        <w:bidi/>
        <w:rPr>
          <w:rFonts w:ascii="Segoe UI" w:hAnsi="Segoe UI" w:cs="Segoe UI"/>
          <w:color w:val="212121"/>
          <w:shd w:val="clear" w:color="auto" w:fill="FFFFFF"/>
          <w:rtl/>
        </w:rPr>
      </w:pPr>
      <w:r w:rsidRPr="00AF4C85">
        <w:rPr>
          <w:rFonts w:ascii="Segoe UI" w:hAnsi="Segoe UI" w:cs="Segoe UI" w:hint="cs"/>
          <w:b/>
          <w:bCs/>
          <w:color w:val="212121"/>
          <w:sz w:val="32"/>
          <w:szCs w:val="32"/>
          <w:shd w:val="clear" w:color="auto" w:fill="FFFFFF"/>
          <w:rtl/>
        </w:rPr>
        <w:t>מבוא</w:t>
      </w:r>
      <w:r>
        <w:rPr>
          <w:rFonts w:ascii="Segoe UI" w:hAnsi="Segoe UI" w:cs="Segoe UI" w:hint="cs"/>
          <w:color w:val="212121"/>
          <w:shd w:val="clear" w:color="auto" w:fill="FFFFFF"/>
          <w:rtl/>
        </w:rPr>
        <w:t xml:space="preserve">: </w:t>
      </w:r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 xml:space="preserve">ההשלכות השליליות של השארת תומכנים שופכניים לאחר </w:t>
      </w:r>
      <w:proofErr w:type="spellStart"/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>אורטרוסקופיה</w:t>
      </w:r>
      <w:proofErr w:type="spellEnd"/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 xml:space="preserve"> 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</w:rPr>
        <w:t>מוכרות היטב ו</w:t>
      </w:r>
      <w:r>
        <w:rPr>
          <w:rFonts w:ascii="Segoe UI" w:hAnsi="Segoe UI" w:cs="Segoe UI" w:hint="cs"/>
          <w:color w:val="212121"/>
          <w:shd w:val="clear" w:color="auto" w:fill="FFFFFF"/>
          <w:rtl/>
        </w:rPr>
        <w:t xml:space="preserve">כבר הניבו </w:t>
      </w:r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 xml:space="preserve">מספר מחקרים שהראו שניתן 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</w:rPr>
        <w:t>ש</w:t>
      </w:r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 xml:space="preserve">לא להשאיר תומכן לאחר </w:t>
      </w:r>
      <w:proofErr w:type="spellStart"/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>אורטרוסקופיה</w:t>
      </w:r>
      <w:proofErr w:type="spellEnd"/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 xml:space="preserve"> לא מסובכת, בייחוד באבנים </w:t>
      </w:r>
      <w:proofErr w:type="spellStart"/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>דיסטליות</w:t>
      </w:r>
      <w:proofErr w:type="spellEnd"/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>. יחד עם זאת, יש מעט מאוד מחקרים עם מסקנה שכזו לגבי אבנים בשופכן עליון או בכליה</w:t>
      </w:r>
      <w:r>
        <w:rPr>
          <w:rFonts w:ascii="Segoe UI" w:hAnsi="Segoe UI" w:cs="Segoe UI" w:hint="cs"/>
          <w:color w:val="212121"/>
          <w:shd w:val="clear" w:color="auto" w:fill="FFFFFF"/>
          <w:rtl/>
        </w:rPr>
        <w:t xml:space="preserve"> עצמה</w:t>
      </w:r>
      <w:r w:rsidR="00A73CB0">
        <w:rPr>
          <w:rFonts w:ascii="Segoe UI" w:hAnsi="Segoe UI" w:cs="Segoe UI" w:hint="cs"/>
          <w:color w:val="212121"/>
          <w:shd w:val="clear" w:color="auto" w:fill="FFFFFF"/>
          <w:rtl/>
        </w:rPr>
        <w:t xml:space="preserve">. </w:t>
      </w:r>
      <w:r w:rsidR="00203ADD">
        <w:rPr>
          <w:rFonts w:ascii="Segoe UI" w:hAnsi="Segoe UI" w:cs="Segoe UI" w:hint="cs"/>
          <w:color w:val="212121"/>
          <w:shd w:val="clear" w:color="auto" w:fill="FFFFFF"/>
          <w:rtl/>
        </w:rPr>
        <w:t xml:space="preserve">כותבי המאמר 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</w:rPr>
        <w:t xml:space="preserve">הזה מבית החולים </w:t>
      </w:r>
      <w:proofErr w:type="spellStart"/>
      <w:r w:rsidR="007C1816" w:rsidRPr="007C1816">
        <w:rPr>
          <w:rFonts w:ascii="Segoe UI" w:hAnsi="Segoe UI" w:cs="Segoe UI"/>
          <w:color w:val="212121"/>
          <w:shd w:val="clear" w:color="auto" w:fill="FFFFFF"/>
        </w:rPr>
        <w:t>Brooke</w:t>
      </w:r>
      <w:proofErr w:type="spellEnd"/>
      <w:r w:rsidR="007C1816" w:rsidRPr="007C1816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="007C1816" w:rsidRPr="007C1816">
        <w:rPr>
          <w:rFonts w:ascii="Segoe UI" w:hAnsi="Segoe UI" w:cs="Segoe UI"/>
          <w:color w:val="212121"/>
          <w:shd w:val="clear" w:color="auto" w:fill="FFFFFF"/>
        </w:rPr>
        <w:t>Army</w:t>
      </w:r>
      <w:proofErr w:type="spellEnd"/>
      <w:r w:rsidR="007C1816" w:rsidRPr="007C1816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="007C1816" w:rsidRPr="007C1816">
        <w:rPr>
          <w:rFonts w:ascii="Segoe UI" w:hAnsi="Segoe UI" w:cs="Segoe UI"/>
          <w:color w:val="212121"/>
          <w:shd w:val="clear" w:color="auto" w:fill="FFFFFF"/>
        </w:rPr>
        <w:t>Medical</w:t>
      </w:r>
      <w:proofErr w:type="spellEnd"/>
      <w:r w:rsidR="007C1816" w:rsidRPr="007C1816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="007C1816" w:rsidRPr="007C1816">
        <w:rPr>
          <w:rFonts w:ascii="Segoe UI" w:hAnsi="Segoe UI" w:cs="Segoe UI"/>
          <w:color w:val="212121"/>
          <w:shd w:val="clear" w:color="auto" w:fill="FFFFFF"/>
        </w:rPr>
        <w:t>Center</w:t>
      </w:r>
      <w:proofErr w:type="spellEnd"/>
      <w:r w:rsidR="007C1816">
        <w:rPr>
          <w:rFonts w:ascii="Segoe UI" w:hAnsi="Segoe UI" w:cs="Segoe UI" w:hint="cs"/>
          <w:color w:val="212121"/>
          <w:shd w:val="clear" w:color="auto" w:fill="FFFFFF"/>
          <w:rtl/>
        </w:rPr>
        <w:t xml:space="preserve"> שבטקסס ארה"ב </w:t>
      </w:r>
      <w:r w:rsidR="00203ADD">
        <w:rPr>
          <w:rFonts w:ascii="Segoe UI" w:hAnsi="Segoe UI" w:cs="Segoe UI" w:hint="cs"/>
          <w:color w:val="212121"/>
          <w:shd w:val="clear" w:color="auto" w:fill="FFFFFF"/>
          <w:rtl/>
        </w:rPr>
        <w:t>יזמו מחקר פרוספקטיבי רנדומלי, עם סמיות של הרופא המנתח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</w:rPr>
        <w:t>,</w:t>
      </w:r>
      <w:r w:rsidR="00203ADD">
        <w:rPr>
          <w:rFonts w:ascii="Segoe UI" w:hAnsi="Segoe UI" w:cs="Segoe UI" w:hint="cs"/>
          <w:color w:val="212121"/>
          <w:shd w:val="clear" w:color="auto" w:fill="FFFFFF"/>
          <w:rtl/>
        </w:rPr>
        <w:t xml:space="preserve"> כדי להעריך את הבטיחות, היעילות, שביעות רצון המטופל וביקורי מיון למקרים אלו.</w:t>
      </w:r>
    </w:p>
    <w:p w14:paraId="1F331BFA" w14:textId="77777777" w:rsidR="00203ADD" w:rsidRDefault="00203ADD" w:rsidP="0040181A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  <w:r w:rsidRPr="00AF4C85">
        <w:rPr>
          <w:rFonts w:ascii="Segoe UI" w:hAnsi="Segoe UI" w:cs="Segoe UI" w:hint="cs"/>
          <w:b/>
          <w:bCs/>
          <w:color w:val="212121"/>
          <w:sz w:val="28"/>
          <w:szCs w:val="28"/>
          <w:shd w:val="clear" w:color="auto" w:fill="FFFFFF"/>
          <w:rtl/>
        </w:rPr>
        <w:t>שיטות</w:t>
      </w:r>
      <w:r>
        <w:rPr>
          <w:rFonts w:ascii="Segoe UI" w:hAnsi="Segoe UI" w:cs="Segoe UI" w:hint="cs"/>
          <w:color w:val="212121"/>
          <w:shd w:val="clear" w:color="auto" w:fill="FFFFFF"/>
          <w:rtl/>
        </w:rPr>
        <w:t>:</w:t>
      </w:r>
      <w:r>
        <w:rPr>
          <w:rFonts w:ascii="Segoe UI" w:hAnsi="Segoe UI" w:cs="Segoe UI" w:hint="cs"/>
          <w:color w:val="212121"/>
          <w:shd w:val="clear" w:color="auto" w:fill="FFFFFF"/>
        </w:rPr>
        <w:t xml:space="preserve"> </w:t>
      </w:r>
      <w:r>
        <w:rPr>
          <w:rFonts w:ascii="Segoe UI" w:hAnsi="Segoe UI" w:cs="Segoe UI" w:hint="cs"/>
          <w:color w:val="212121"/>
          <w:shd w:val="clear" w:color="auto" w:fill="FFFFFF"/>
          <w:rtl/>
        </w:rPr>
        <w:t xml:space="preserve">בין 2017 ל2020 הוחתמו 74 מטופלים עוקבים למחקר. לכולם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</w:rPr>
        <w:t>היתה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</w:rPr>
        <w:t xml:space="preserve"> לפחות אבן אחת בשופכן העליון (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</w:rPr>
        <w:t xml:space="preserve">שהוגדר </w:t>
      </w:r>
      <w:r>
        <w:rPr>
          <w:rFonts w:ascii="Segoe UI" w:hAnsi="Segoe UI" w:cs="Segoe UI" w:hint="cs"/>
          <w:color w:val="212121"/>
          <w:shd w:val="clear" w:color="auto" w:fill="FFFFFF"/>
          <w:rtl/>
        </w:rPr>
        <w:t>מעל הגבול העליון של מפרק ה</w:t>
      </w:r>
      <w:proofErr w:type="spellStart"/>
      <w:r>
        <w:rPr>
          <w:rFonts w:ascii="Segoe UI" w:hAnsi="Segoe UI" w:cs="Segoe UI"/>
          <w:color w:val="212121"/>
          <w:shd w:val="clear" w:color="auto" w:fill="FFFFFF"/>
          <w:lang w:val="en-US"/>
        </w:rPr>
        <w:t>sacro</w:t>
      </w:r>
      <w:proofErr w:type="spellEnd"/>
      <w:r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  <w:lang w:val="en-US"/>
        </w:rPr>
        <w:t>illiac</w:t>
      </w:r>
      <w:proofErr w:type="spellEnd"/>
      <w:r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</w:t>
      </w:r>
      <w:r>
        <w:rPr>
          <w:rFonts w:ascii="Segoe UI" w:hAnsi="Segoe UI" w:cs="Segoe UI" w:hint="cs"/>
          <w:color w:val="212121"/>
          <w:shd w:val="clear" w:color="auto" w:fill="FFFFFF"/>
          <w:rtl/>
        </w:rPr>
        <w:t xml:space="preserve">) או בכליה 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והם חולקו רנדומלית בין </w:t>
      </w:r>
      <w:r w:rsidR="0064428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קבוצ</w:t>
      </w:r>
      <w:r w:rsidR="00AF4C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ה בה הושאר</w:t>
      </w:r>
      <w:r w:rsidR="0064428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סטנט לאחר הניתוח לבין קבוצה ללא </w:t>
      </w:r>
      <w:r w:rsidR="00AF4C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השארת </w:t>
      </w:r>
      <w:r w:rsidR="0064428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סטנט. רק לאחר שהמנתח סיים את הטיפול באבן נחשף בפניו 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בזמן הניתוח </w:t>
      </w:r>
      <w:r w:rsidR="0064428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לאיזו קבוצה משתייך המטופל.</w:t>
      </w:r>
      <w:r w:rsidR="00AF4C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השימוש באיבוק או פרגמנטציה וכן בתעלת עבודה היה נתון לשיקול דעתו של המנתח.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הסטנט שהושאר היה </w:t>
      </w:r>
      <w:r w:rsidR="0040181A">
        <w:rPr>
          <w:rFonts w:ascii="Segoe UI" w:hAnsi="Segoe UI" w:cs="Segoe UI"/>
          <w:color w:val="212121"/>
          <w:shd w:val="clear" w:color="auto" w:fill="FFFFFF"/>
          <w:lang w:val="en-US"/>
        </w:rPr>
        <w:t>6f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עם חוט לשבוע ימים. תרופות נגד כאב בזמן הניתוח ניתנו לפי שיקול דעת המרדים אולם לאחר הניתוח </w:t>
      </w:r>
      <w:proofErr w:type="spellStart"/>
      <w:r w:rsidR="0040181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היתה</w:t>
      </w:r>
      <w:proofErr w:type="spellEnd"/>
      <w:r w:rsidR="0040181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סטנדרטיזציה לכולם: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hydrocodone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>/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acetaminophen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 xml:space="preserve"> (5/325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mg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 xml:space="preserve">),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ibuprofen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 xml:space="preserve"> (600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mg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 xml:space="preserve">),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phenazopyridine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 xml:space="preserve"> (200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mg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 xml:space="preserve">),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and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tolterodine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 xml:space="preserve"> (4 </w:t>
      </w:r>
      <w:proofErr w:type="spellStart"/>
      <w:r w:rsidR="0040181A" w:rsidRPr="0040181A">
        <w:rPr>
          <w:rFonts w:ascii="Segoe UI" w:hAnsi="Segoe UI" w:cs="Segoe UI"/>
          <w:color w:val="212121"/>
          <w:shd w:val="clear" w:color="auto" w:fill="FFFFFF"/>
        </w:rPr>
        <w:t>mg</w:t>
      </w:r>
      <w:proofErr w:type="spellEnd"/>
      <w:r w:rsidR="0040181A" w:rsidRPr="0040181A">
        <w:rPr>
          <w:rFonts w:ascii="Segoe UI" w:hAnsi="Segoe UI" w:cs="Segoe UI"/>
          <w:color w:val="212121"/>
          <w:shd w:val="clear" w:color="auto" w:fill="FFFFFF"/>
        </w:rPr>
        <w:t>)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</w:rPr>
        <w:t xml:space="preserve">. כל המטופלים שוחררו ביום הניתוח והיו על אלפא בלוקרים לפני הניתוח ועד הוצאת הסטנט. מטופלים תיעדו שימוש בתרופות בשבוע לאחר הפעולה. התוצאים הוערכו באמצעות טפסי </w:t>
      </w:r>
      <w:r w:rsidR="0040181A">
        <w:rPr>
          <w:rFonts w:ascii="Segoe UI" w:hAnsi="Segoe UI" w:cs="Segoe UI" w:hint="cs"/>
          <w:color w:val="212121"/>
          <w:shd w:val="clear" w:color="auto" w:fill="FFFFFF"/>
        </w:rPr>
        <w:t>USSQ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</w:rPr>
        <w:t xml:space="preserve"> ביום הניתוח, יום 3, 7 ו28. </w:t>
      </w:r>
      <w:r w:rsidR="0040181A">
        <w:rPr>
          <w:rFonts w:ascii="Segoe UI" w:hAnsi="Segoe UI" w:cs="Segoe UI" w:hint="cs"/>
          <w:color w:val="212121"/>
          <w:shd w:val="clear" w:color="auto" w:fill="FFFFFF"/>
        </w:rPr>
        <w:t>SFR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</w:rPr>
        <w:t xml:space="preserve"> נבדק לפי </w:t>
      </w:r>
      <w:r w:rsidR="0040181A">
        <w:rPr>
          <w:rFonts w:ascii="Segoe UI" w:hAnsi="Segoe UI" w:cs="Segoe UI" w:hint="cs"/>
          <w:color w:val="212121"/>
          <w:shd w:val="clear" w:color="auto" w:fill="FFFFFF"/>
        </w:rPr>
        <w:t>KUB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</w:rPr>
        <w:t xml:space="preserve">, </w:t>
      </w:r>
      <w:r w:rsidR="0040181A">
        <w:rPr>
          <w:rFonts w:ascii="Segoe UI" w:hAnsi="Segoe UI" w:cs="Segoe UI" w:hint="cs"/>
          <w:color w:val="212121"/>
          <w:shd w:val="clear" w:color="auto" w:fill="FFFFFF"/>
        </w:rPr>
        <w:t>US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</w:rPr>
        <w:t xml:space="preserve"> או </w:t>
      </w:r>
      <w:r w:rsidR="0040181A">
        <w:rPr>
          <w:rFonts w:ascii="Segoe UI" w:hAnsi="Segoe UI" w:cs="Segoe UI" w:hint="cs"/>
          <w:color w:val="212121"/>
          <w:shd w:val="clear" w:color="auto" w:fill="FFFFFF"/>
        </w:rPr>
        <w:t>CT</w:t>
      </w:r>
      <w:r w:rsidR="0040181A">
        <w:rPr>
          <w:rFonts w:ascii="Segoe UI" w:hAnsi="Segoe UI" w:cs="Segoe UI" w:hint="cs"/>
          <w:color w:val="212121"/>
          <w:shd w:val="clear" w:color="auto" w:fill="FFFFFF"/>
          <w:rtl/>
        </w:rPr>
        <w:t xml:space="preserve"> 4-12 שבועות לאחר הניתוח.</w:t>
      </w:r>
    </w:p>
    <w:p w14:paraId="06C50570" w14:textId="77777777" w:rsidR="00AF4C85" w:rsidRDefault="00AF4C85" w:rsidP="00AF4C85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  <w:proofErr w:type="spellStart"/>
      <w:r w:rsidRPr="00AF4C85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>קריטריוני</w:t>
      </w:r>
      <w:proofErr w:type="spellEnd"/>
      <w:r w:rsidRPr="00AF4C85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 xml:space="preserve"> הכללה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:</w:t>
      </w:r>
      <w:r>
        <w:rPr>
          <w:rFonts w:ascii="Segoe UI" w:hAnsi="Segoe UI" w:cs="Segoe UI" w:hint="cs"/>
          <w:color w:val="212121"/>
          <w:shd w:val="clear" w:color="auto" w:fill="FFFFFF"/>
          <w:lang w:val="en-US"/>
        </w:rPr>
        <w:t xml:space="preserve"> 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מטופלים בוגרים עם אבנים בשופכן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פרוקסימלי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/כליה עד 1.5 ס"מ במצטבר לפי </w:t>
      </w:r>
      <w:r>
        <w:rPr>
          <w:rFonts w:ascii="Segoe UI" w:hAnsi="Segoe UI" w:cs="Segoe UI" w:hint="cs"/>
          <w:color w:val="212121"/>
          <w:shd w:val="clear" w:color="auto" w:fill="FFFFFF"/>
          <w:lang w:val="en-US"/>
        </w:rPr>
        <w:t>NCCT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או </w:t>
      </w:r>
      <w:r>
        <w:rPr>
          <w:rFonts w:ascii="Segoe UI" w:hAnsi="Segoe UI" w:cs="Segoe UI" w:hint="cs"/>
          <w:color w:val="212121"/>
          <w:shd w:val="clear" w:color="auto" w:fill="FFFFFF"/>
          <w:lang w:val="en-US"/>
        </w:rPr>
        <w:t>KUB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.</w:t>
      </w:r>
    </w:p>
    <w:p w14:paraId="4F6E5554" w14:textId="77777777" w:rsidR="00AF4C85" w:rsidRDefault="00AF4C85" w:rsidP="00AF4C85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  <w:proofErr w:type="spellStart"/>
      <w:r w:rsidRPr="00AF4C85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>קריטריוני</w:t>
      </w:r>
      <w:proofErr w:type="spellEnd"/>
      <w:r w:rsidRPr="00AF4C85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 xml:space="preserve"> הוצאה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: אבנים בגודל מצטבר מעל 1.5 ס"מ; כליה בודדת; היריון; אבנים בשופכן אמצעי או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דיסטלי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; מטופלים עם סטנט או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נפרוסטום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;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פרפורציה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של השופכן במהלך הניתוח.</w:t>
      </w:r>
    </w:p>
    <w:p w14:paraId="56CC67D5" w14:textId="77777777" w:rsidR="00AF4C85" w:rsidRDefault="00AF4C85" w:rsidP="00AF4C85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  <w:r w:rsidRPr="00AF4C85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>מטרה עיקרית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: תסמיני כאב ותסמיני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ם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ב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מתן 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ה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שתן; איכות חיי המטופל ושימוש בתרופות</w:t>
      </w:r>
      <w:r w:rsidR="007C1816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.</w:t>
      </w:r>
    </w:p>
    <w:p w14:paraId="7AB83AEE" w14:textId="77777777" w:rsidR="00AF4C85" w:rsidRDefault="00AF4C85" w:rsidP="00AF4C85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  <w:r w:rsidRPr="00AF4C85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>מטרה משנית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:</w:t>
      </w:r>
      <w:r>
        <w:rPr>
          <w:rFonts w:ascii="Segoe UI" w:hAnsi="Segoe UI" w:cs="Segoe UI" w:hint="cs"/>
          <w:color w:val="212121"/>
          <w:shd w:val="clear" w:color="auto" w:fill="FFFFFF"/>
          <w:lang w:val="en-US"/>
        </w:rPr>
        <w:t xml:space="preserve"> 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ביקורים רפואיים לא מתכוננים וסיבוכים.</w:t>
      </w:r>
    </w:p>
    <w:p w14:paraId="08B9B387" w14:textId="77777777" w:rsidR="0040181A" w:rsidRDefault="0040181A" w:rsidP="00953785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  <w:r w:rsidRPr="007C1816">
        <w:rPr>
          <w:rFonts w:ascii="Segoe UI" w:hAnsi="Segoe UI" w:cs="Segoe UI" w:hint="cs"/>
          <w:b/>
          <w:bCs/>
          <w:color w:val="212121"/>
          <w:sz w:val="28"/>
          <w:szCs w:val="28"/>
          <w:shd w:val="clear" w:color="auto" w:fill="FFFFFF"/>
          <w:rtl/>
          <w:lang w:val="en-US"/>
        </w:rPr>
        <w:t>תוצאות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:</w:t>
      </w:r>
      <w:r>
        <w:rPr>
          <w:rFonts w:ascii="Segoe UI" w:hAnsi="Segoe UI" w:cs="Segoe UI" w:hint="cs"/>
          <w:color w:val="212121"/>
          <w:shd w:val="clear" w:color="auto" w:fill="FFFFFF"/>
          <w:lang w:val="en-US"/>
        </w:rPr>
        <w:t xml:space="preserve"> 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72 מטופלים עברו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רנדומיזציה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, 35 לקבוצת הסטנט</w:t>
      </w:r>
      <w:r w:rsidR="009537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(גיל חציוני 50, 37%</w:t>
      </w:r>
      <w:r w:rsidR="00953785">
        <w:rPr>
          <w:rFonts w:ascii="Segoe UI" w:hAnsi="Segoe UI" w:cs="Segoe UI" w:hint="cs"/>
          <w:color w:val="212121"/>
          <w:shd w:val="clear" w:color="auto" w:fill="FFFFFF"/>
          <w:lang w:val="en-US"/>
        </w:rPr>
        <w:t xml:space="preserve"> </w:t>
      </w:r>
      <w:r w:rsidR="009537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נשים)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ו37 לקבוצת ללא סטנט</w:t>
      </w:r>
      <w:r w:rsidR="009537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(גיל חציוני 52, 48% נשים)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. לא היו הבדלים דמוגרפיים או במאפייני האבנים בין שתי הקבוצות. </w:t>
      </w:r>
      <w:r w:rsidR="009537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גודל האבן החציוני (הציר הארוך ביותר) בקבוצת הסטנט היה 7.9</w:t>
      </w:r>
      <w:r w:rsidR="00953785" w:rsidRPr="00953785">
        <w:rPr>
          <w:rFonts w:ascii="Segoe UI" w:hAnsi="Segoe UI" w:cs="Segoe UI" w:hint="cs"/>
          <w:color w:val="212121"/>
          <w:u w:val="single"/>
          <w:shd w:val="clear" w:color="auto" w:fill="FFFFFF"/>
          <w:rtl/>
          <w:lang w:val="en-US"/>
        </w:rPr>
        <w:t>+</w:t>
      </w:r>
      <w:r w:rsidR="009537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3.6 מ"מ בקבוצת הסטנט לעומת 7.7</w:t>
      </w:r>
      <w:r w:rsidR="00953785" w:rsidRPr="00953785">
        <w:rPr>
          <w:rFonts w:ascii="Segoe UI" w:hAnsi="Segoe UI" w:cs="Segoe UI" w:hint="cs"/>
          <w:color w:val="212121"/>
          <w:u w:val="single"/>
          <w:shd w:val="clear" w:color="auto" w:fill="FFFFFF"/>
          <w:rtl/>
          <w:lang w:val="en-US"/>
        </w:rPr>
        <w:t>+</w:t>
      </w:r>
      <w:r w:rsidR="0095378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2.8 בקבוצת ללא סטנט.</w:t>
      </w:r>
      <w:r w:rsidR="007D7AFE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60% מהאבנים היו בכליה בשתי הקבוצות. שימוש בתעלת עבודה </w:t>
      </w:r>
      <w:proofErr w:type="spellStart"/>
      <w:r w:rsidR="007D7AFE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היתה</w:t>
      </w:r>
      <w:proofErr w:type="spellEnd"/>
      <w:r w:rsidR="007D7AFE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ב20% בקבוצת הסטנט וב8% בקבוצה ללא סטנט (</w:t>
      </w:r>
      <w:r w:rsidR="007D7AFE">
        <w:t>p = 0.141</w:t>
      </w:r>
      <w:r w:rsidR="007D7AFE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). כל האבנים בשופכן העליון טופלו באמצעות </w:t>
      </w:r>
      <w:proofErr w:type="spellStart"/>
      <w:r w:rsidR="007D7AFE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אורטרוסקופ</w:t>
      </w:r>
      <w:proofErr w:type="spellEnd"/>
      <w:r w:rsidR="007D7AFE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חצי קשיח וכל אבני הכליה באמצעות הגמיש. זמן הניתוח (שנמדד מכניסת הסקופ ועד להכנסת הסטנט) היה ארוך משמעותית בקבוצת הסטנט 55 דקות לעומת 52 דקות (</w:t>
      </w:r>
      <w:r w:rsidR="007D7AFE">
        <w:t>p = 0.04</w:t>
      </w:r>
      <w:r w:rsidR="007D7AFE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) אבל לא משמעותי קלינית.</w:t>
      </w:r>
      <w:r w:rsidR="006753F5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לא היה הבדל סטטיסטי ביעילות הטיפול באבנים </w:t>
      </w:r>
      <w:r w:rsidR="00713AA9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(שהוגדר כהיעדר של אבנים גדולות מ2 מ"מ בהדמיה) </w:t>
      </w:r>
      <w:r w:rsidR="00631CC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ש</w:t>
      </w:r>
      <w:r w:rsidR="00713AA9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היה 90% בקבוצת הסטנט ן85% בקבוצה ללא סטנט (</w:t>
      </w:r>
      <w:r w:rsidR="00713AA9">
        <w:t>p = 0.227</w:t>
      </w:r>
      <w:r w:rsidR="00713AA9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). כמובן שמטופלים בקבוצת הסטנט דיווחו על הרבה יותר </w:t>
      </w:r>
      <w:proofErr w:type="spellStart"/>
      <w:r w:rsidR="00713AA9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דיסוריה</w:t>
      </w:r>
      <w:proofErr w:type="spellEnd"/>
      <w:r w:rsidR="00713AA9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תכיפות ודחיפות בימים 3 ו-7 עם הבדלים סטטיסטיים משמעותיים אולם כבר לא היה הבדל סטטיסטי עד להערכה ביום 28. </w:t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זה היה </w:t>
      </w:r>
      <w:r w:rsidR="00631CC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המצב </w:t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גם לגבי דיווח על כאבים וכן לגבי איכות חיים </w:t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lastRenderedPageBreak/>
        <w:t xml:space="preserve">עם </w:t>
      </w:r>
      <w:r w:rsidR="00726A97">
        <w:rPr>
          <w:noProof/>
        </w:rPr>
        <w:drawing>
          <wp:anchor distT="0" distB="0" distL="114300" distR="114300" simplePos="0" relativeHeight="251657728" behindDoc="1" locked="0" layoutInCell="1" allowOverlap="1" wp14:anchorId="2FC568AC" wp14:editId="434D6B52">
            <wp:simplePos x="0" y="0"/>
            <wp:positionH relativeFrom="column">
              <wp:posOffset>-527050</wp:posOffset>
            </wp:positionH>
            <wp:positionV relativeFrom="paragraph">
              <wp:posOffset>716915</wp:posOffset>
            </wp:positionV>
            <wp:extent cx="3206750" cy="2901950"/>
            <wp:effectExtent l="0" t="0" r="0" b="0"/>
            <wp:wrapTight wrapText="bothSides">
              <wp:wrapPolygon edited="0">
                <wp:start x="0" y="0"/>
                <wp:lineTo x="0" y="21411"/>
                <wp:lineTo x="21429" y="21411"/>
                <wp:lineTo x="21429" y="0"/>
                <wp:lineTo x="0" y="0"/>
              </wp:wrapPolygon>
            </wp:wrapTight>
            <wp:docPr id="2" name="תמונה 1" descr="תמונה שמכילה טקסט&#10;&#10;התיאור נוצר באופן אוטומטי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מונה שמכילה טקסט&#10;&#10;התיאור נוצר באופן אוטומטי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20682" r="53024" b="1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הבדלים סטטיסטיים צפויים בצריכת התרופות של פי 2.5 של </w:t>
      </w:r>
      <w:proofErr w:type="spellStart"/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אופיאטיים</w:t>
      </w:r>
      <w:proofErr w:type="spellEnd"/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עד יום 7 (</w:t>
      </w:r>
      <w:r w:rsidR="00AE16EB">
        <w:rPr>
          <w:rFonts w:ascii="Segoe UI" w:hAnsi="Segoe UI" w:cs="Segoe UI"/>
          <w:color w:val="212121"/>
          <w:shd w:val="clear" w:color="auto" w:fill="FFFFFF"/>
          <w:lang w:val="en-US"/>
        </w:rPr>
        <w:t>p=0.003</w:t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). לא היו הבדלים בשיעורי הסיבוכים בין שתי הקבוצות (</w:t>
      </w:r>
      <w:r w:rsidR="00AE16EB">
        <w:t>p = 0.9</w:t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). היו 11 ביקורי מיון בקבוצת הסטנט </w:t>
      </w:r>
      <w:r w:rsidR="00AE16EB">
        <w:rPr>
          <w:rFonts w:ascii="Segoe UI" w:hAnsi="Segoe UI" w:cs="Segoe UI"/>
          <w:color w:val="212121"/>
          <w:shd w:val="clear" w:color="auto" w:fill="FFFFFF"/>
          <w:rtl/>
          <w:lang w:val="en-US"/>
        </w:rPr>
        <w:t>–</w:t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6 מהם לכאב, 2 הצריכו הוצאה מוקדמת של הסטנט ו3 הצריכו אשפוז. היו סך </w:t>
      </w:r>
      <w:proofErr w:type="spellStart"/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הכל</w:t>
      </w:r>
      <w:proofErr w:type="spellEnd"/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3 מקרי זיהום בדרכי השתן בקבוצה זו. בקבוצה ללא סטנט היו 8 ביקורי מיון, כולם בגלל כאבים ולא היה מקרה אחד של זיהום בדרכי השתן. </w:t>
      </w:r>
      <w:r w:rsidR="00AE16EB" w:rsidRPr="00631CCA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>3 מתוך 8 נזקקו ל</w:t>
      </w:r>
      <w:r w:rsidR="007C1816" w:rsidRPr="00631CCA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>אשפוז ול</w:t>
      </w:r>
      <w:r w:rsidR="00AE16EB" w:rsidRPr="00631CCA">
        <w:rPr>
          <w:rFonts w:ascii="Segoe UI" w:hAnsi="Segoe UI" w:cs="Segoe UI" w:hint="cs"/>
          <w:b/>
          <w:bCs/>
          <w:color w:val="212121"/>
          <w:shd w:val="clear" w:color="auto" w:fill="FFFFFF"/>
          <w:rtl/>
          <w:lang w:val="en-US"/>
        </w:rPr>
        <w:t>החדרת סטנט</w:t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</w:t>
      </w:r>
      <w:r w:rsidR="00AE16EB">
        <w:rPr>
          <w:rFonts w:ascii="Segoe UI" w:hAnsi="Segoe UI" w:cs="Segoe UI"/>
          <w:color w:val="212121"/>
          <w:shd w:val="clear" w:color="auto" w:fill="FFFFFF"/>
          <w:rtl/>
          <w:lang w:val="en-US"/>
        </w:rPr>
        <w:t>–</w:t>
      </w:r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אחד בשל אבן </w:t>
      </w:r>
      <w:proofErr w:type="spellStart"/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דיסטלית</w:t>
      </w:r>
      <w:proofErr w:type="spellEnd"/>
      <w:r w:rsidR="00AE16EB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ושניים בשל בצקת של השופכן.</w:t>
      </w:r>
    </w:p>
    <w:p w14:paraId="5728E748" w14:textId="77777777" w:rsidR="007C1816" w:rsidRDefault="007C1816" w:rsidP="007C1816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  <w:r w:rsidRPr="007C1816">
        <w:rPr>
          <w:rFonts w:ascii="Segoe UI" w:hAnsi="Segoe UI" w:cs="Segoe UI" w:hint="cs"/>
          <w:b/>
          <w:bCs/>
          <w:color w:val="212121"/>
          <w:sz w:val="28"/>
          <w:szCs w:val="28"/>
          <w:shd w:val="clear" w:color="auto" w:fill="FFFFFF"/>
          <w:rtl/>
          <w:lang w:val="en-US"/>
        </w:rPr>
        <w:t>מגבלות המחקר:</w:t>
      </w:r>
      <w:r>
        <w:rPr>
          <w:rFonts w:ascii="Segoe UI" w:hAnsi="Segoe UI" w:cs="Segoe UI" w:hint="cs"/>
          <w:color w:val="212121"/>
          <w:shd w:val="clear" w:color="auto" w:fill="FFFFFF"/>
          <w:lang w:val="en-US"/>
        </w:rPr>
        <w:t xml:space="preserve"> 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מדגם קטן של מטופלים שנותחו על ידי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אנדואורולוג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שהוכשר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בפלושיפ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ייעודי </w:t>
      </w:r>
      <w:r w:rsidR="00631CC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והמחקר נערך ב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בית חולים של המערכת הצבאית האמריקאית.</w:t>
      </w:r>
    </w:p>
    <w:p w14:paraId="573D998F" w14:textId="773AEC16" w:rsidR="007C1816" w:rsidRDefault="007C1816" w:rsidP="007C1816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  <w:r w:rsidRPr="007C1816">
        <w:rPr>
          <w:rFonts w:ascii="Segoe UI" w:hAnsi="Segoe UI" w:cs="Segoe UI" w:hint="cs"/>
          <w:b/>
          <w:bCs/>
          <w:color w:val="212121"/>
          <w:sz w:val="28"/>
          <w:szCs w:val="28"/>
          <w:shd w:val="clear" w:color="auto" w:fill="FFFFFF"/>
          <w:rtl/>
          <w:lang w:val="en-US"/>
        </w:rPr>
        <w:t>מסקנות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:</w:t>
      </w:r>
      <w:r>
        <w:rPr>
          <w:rFonts w:ascii="Segoe UI" w:hAnsi="Segoe UI" w:cs="Segoe UI" w:hint="cs"/>
          <w:color w:val="212121"/>
          <w:shd w:val="clear" w:color="auto" w:fill="FFFFFF"/>
          <w:lang w:val="en-US"/>
        </w:rPr>
        <w:t xml:space="preserve"> 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האפשר</w:t>
      </w:r>
      <w:r w:rsidR="00631CC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ות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שלא להשאיר סטנט לאחר טיפול באבן בשופכן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פרוקסימלי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או בכליה בטוחה וגורמת לפחות כאבים ותסמינים </w:t>
      </w:r>
      <w:proofErr w:type="spellStart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אורינריים</w:t>
      </w:r>
      <w:proofErr w:type="spellEnd"/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 ו</w:t>
      </w:r>
      <w:r w:rsidR="00631CC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ל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פחות צריכה של תרופות עם אותו שיעור של סיבוכים וביקורים רפואיים לא מתוכננים. </w:t>
      </w:r>
      <w:r w:rsidR="00631CC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יחד עם זאת 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עשוי להיות שיעור גבוה יותר של </w:t>
      </w:r>
      <w:r w:rsidR="00631CCA"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>צורך ב</w:t>
      </w:r>
      <w:r>
        <w:rPr>
          <w:rFonts w:ascii="Segoe UI" w:hAnsi="Segoe UI" w:cs="Segoe UI" w:hint="cs"/>
          <w:color w:val="212121"/>
          <w:shd w:val="clear" w:color="auto" w:fill="FFFFFF"/>
          <w:rtl/>
          <w:lang w:val="en-US"/>
        </w:rPr>
        <w:t xml:space="preserve">ניתוח חוזר. </w:t>
      </w:r>
    </w:p>
    <w:p w14:paraId="2A7FFEE8" w14:textId="0B62C7F3" w:rsidR="00063582" w:rsidRDefault="00063582" w:rsidP="00063582">
      <w:pPr>
        <w:bidi/>
        <w:rPr>
          <w:rFonts w:ascii="Segoe UI" w:hAnsi="Segoe UI" w:cs="Segoe UI"/>
          <w:color w:val="212121"/>
          <w:shd w:val="clear" w:color="auto" w:fill="FFFFFF"/>
          <w:rtl/>
          <w:lang w:val="en-US"/>
        </w:rPr>
      </w:pPr>
    </w:p>
    <w:p w14:paraId="1F9A0554" w14:textId="77777777" w:rsidR="00063582" w:rsidRPr="00A73CB0" w:rsidRDefault="00063582" w:rsidP="00063582">
      <w:pPr>
        <w:rPr>
          <w:b/>
          <w:bCs/>
          <w:sz w:val="32"/>
          <w:szCs w:val="32"/>
          <w:rtl/>
        </w:rPr>
      </w:pPr>
      <w:r w:rsidRPr="00063582">
        <w:rPr>
          <w:b/>
          <w:bCs/>
          <w:sz w:val="32"/>
          <w:szCs w:val="32"/>
          <w:lang w:val="en-US"/>
        </w:rPr>
        <w:t xml:space="preserve">The Role of Routine Ureteral Stenting Following Uncomplicated </w:t>
      </w:r>
      <w:proofErr w:type="spellStart"/>
      <w:r w:rsidRPr="00063582">
        <w:rPr>
          <w:b/>
          <w:bCs/>
          <w:sz w:val="32"/>
          <w:szCs w:val="32"/>
          <w:lang w:val="en-US"/>
        </w:rPr>
        <w:t>Ureteroscopic</w:t>
      </w:r>
      <w:proofErr w:type="spellEnd"/>
      <w:r w:rsidRPr="00063582">
        <w:rPr>
          <w:b/>
          <w:bCs/>
          <w:sz w:val="32"/>
          <w:szCs w:val="32"/>
          <w:lang w:val="en-US"/>
        </w:rPr>
        <w:t xml:space="preserve"> Treatment for Upper Ureteral and Renal Stones: A Randomized Control Trial</w:t>
      </w:r>
    </w:p>
    <w:p w14:paraId="72CB1BF6" w14:textId="77777777" w:rsidR="00063582" w:rsidRDefault="00063582" w:rsidP="00063582">
      <w:pPr>
        <w:rPr>
          <w:rFonts w:ascii="Segoe UI" w:hAnsi="Segoe UI" w:cs="Segoe UI"/>
          <w:color w:val="212121"/>
          <w:shd w:val="clear" w:color="auto" w:fill="FFFFFF"/>
          <w:rtl/>
        </w:rPr>
      </w:pPr>
      <w:r w:rsidRPr="00063582">
        <w:rPr>
          <w:rFonts w:ascii="Segoe UI" w:hAnsi="Segoe UI" w:cs="Segoe UI"/>
          <w:color w:val="212121"/>
          <w:shd w:val="clear" w:color="auto" w:fill="FFFFFF"/>
          <w:lang w:val="en-US"/>
        </w:rPr>
        <w:t>Allam CL, Aden JK, Reed AM.</w:t>
      </w:r>
    </w:p>
    <w:p w14:paraId="74FCB243" w14:textId="77777777" w:rsidR="00063582" w:rsidRDefault="00063582" w:rsidP="00063582">
      <w:pPr>
        <w:rPr>
          <w:rFonts w:ascii="Segoe UI" w:hAnsi="Segoe UI" w:cs="Segoe UI"/>
          <w:color w:val="212121"/>
          <w:shd w:val="clear" w:color="auto" w:fill="FFFFFF"/>
          <w:rtl/>
        </w:rPr>
      </w:pPr>
      <w:r w:rsidRPr="00063582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J </w:t>
      </w:r>
      <w:proofErr w:type="spellStart"/>
      <w:r w:rsidRPr="00063582">
        <w:rPr>
          <w:rFonts w:ascii="Segoe UI" w:hAnsi="Segoe UI" w:cs="Segoe UI"/>
          <w:color w:val="212121"/>
          <w:shd w:val="clear" w:color="auto" w:fill="FFFFFF"/>
          <w:lang w:val="en-US"/>
        </w:rPr>
        <w:t>Endourol</w:t>
      </w:r>
      <w:proofErr w:type="spellEnd"/>
      <w:r w:rsidRPr="00063582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. 2023 Mar;37(3):257-263. </w:t>
      </w:r>
      <w:proofErr w:type="spellStart"/>
      <w:r w:rsidRPr="00063582">
        <w:rPr>
          <w:rFonts w:ascii="Segoe UI" w:hAnsi="Segoe UI" w:cs="Segoe UI"/>
          <w:color w:val="212121"/>
          <w:shd w:val="clear" w:color="auto" w:fill="FFFFFF"/>
          <w:lang w:val="en-US"/>
        </w:rPr>
        <w:t>doi</w:t>
      </w:r>
      <w:proofErr w:type="spellEnd"/>
      <w:r w:rsidRPr="00063582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: 10.1089/end.2022.0386.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2023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Jan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9. PMID: 36401514.</w:t>
      </w:r>
    </w:p>
    <w:p w14:paraId="679D7B8F" w14:textId="77777777" w:rsidR="00063582" w:rsidRPr="00AE16EB" w:rsidRDefault="00063582" w:rsidP="00063582">
      <w:pPr>
        <w:rPr>
          <w:rFonts w:ascii="Segoe UI" w:hAnsi="Segoe UI" w:cs="Segoe UI"/>
          <w:color w:val="212121"/>
          <w:shd w:val="clear" w:color="auto" w:fill="FFFFFF"/>
          <w:lang w:val="en-US"/>
        </w:rPr>
      </w:pPr>
    </w:p>
    <w:p w14:paraId="7138EC12" w14:textId="77777777" w:rsidR="00AE16EB" w:rsidRPr="00203ADD" w:rsidRDefault="00AE16EB" w:rsidP="00AE16EB">
      <w:pPr>
        <w:bidi/>
        <w:rPr>
          <w:rtl/>
          <w:lang w:val="en-US"/>
        </w:rPr>
      </w:pPr>
    </w:p>
    <w:sectPr w:rsidR="00AE16EB" w:rsidRPr="00203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C"/>
    <w:rsid w:val="00063582"/>
    <w:rsid w:val="00203ADD"/>
    <w:rsid w:val="00334B0A"/>
    <w:rsid w:val="0040181A"/>
    <w:rsid w:val="00631CCA"/>
    <w:rsid w:val="0064428B"/>
    <w:rsid w:val="006753F5"/>
    <w:rsid w:val="00713AA9"/>
    <w:rsid w:val="00726A97"/>
    <w:rsid w:val="007C1816"/>
    <w:rsid w:val="007D7AFE"/>
    <w:rsid w:val="00953785"/>
    <w:rsid w:val="00A73CB0"/>
    <w:rsid w:val="00AE16EB"/>
    <w:rsid w:val="00AF4C85"/>
    <w:rsid w:val="00BC487C"/>
    <w:rsid w:val="00F21ECF"/>
    <w:rsid w:val="00FD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48AC"/>
  <w15:chartTrackingRefBased/>
  <w15:docId w15:val="{E5FB3CF7-DB5F-C44A-A99C-E32DDEED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640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פיירמן קליין</dc:creator>
  <cp:keywords/>
  <dc:description/>
  <cp:lastModifiedBy>M Asali</cp:lastModifiedBy>
  <cp:revision>3</cp:revision>
  <dcterms:created xsi:type="dcterms:W3CDTF">2023-04-05T18:56:00Z</dcterms:created>
  <dcterms:modified xsi:type="dcterms:W3CDTF">2023-04-05T19:13:00Z</dcterms:modified>
</cp:coreProperties>
</file>